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9BF" w:rsidRDefault="00C1216C" w:rsidP="00EA3A4B">
      <w:pPr>
        <w:pStyle w:val="Title"/>
        <w:rPr>
          <w:color w:val="0070C0"/>
          <w:sz w:val="48"/>
          <w:szCs w:val="44"/>
        </w:rPr>
      </w:pPr>
      <w:r>
        <w:rPr>
          <w:color w:val="0070C0"/>
          <w:sz w:val="48"/>
          <w:szCs w:val="44"/>
        </w:rPr>
        <w:t>Intel® g</w:t>
      </w:r>
      <w:r w:rsidR="008B6E92" w:rsidRPr="0093400E">
        <w:rPr>
          <w:color w:val="0070C0"/>
          <w:sz w:val="48"/>
          <w:szCs w:val="44"/>
        </w:rPr>
        <w:t>raphics v</w:t>
      </w:r>
      <w:r w:rsidR="004439BF" w:rsidRPr="0093400E">
        <w:rPr>
          <w:color w:val="0070C0"/>
          <w:sz w:val="48"/>
          <w:szCs w:val="44"/>
        </w:rPr>
        <w:t>irtualization</w:t>
      </w:r>
      <w:r w:rsidR="004B32CA">
        <w:rPr>
          <w:color w:val="0070C0"/>
          <w:sz w:val="48"/>
          <w:szCs w:val="44"/>
        </w:rPr>
        <w:t xml:space="preserve"> update</w:t>
      </w:r>
    </w:p>
    <w:p w:rsidR="004439BF" w:rsidRDefault="002C0BCC" w:rsidP="004439BF">
      <w:r>
        <w:t>Sunil Jain, Intel Corporation</w:t>
      </w:r>
    </w:p>
    <w:p w:rsidR="00B95984" w:rsidRDefault="00B95984" w:rsidP="004439BF"/>
    <w:p w:rsidR="00A51821" w:rsidRDefault="00E52E47" w:rsidP="004439BF">
      <w:r>
        <w:t xml:space="preserve">Traditional </w:t>
      </w:r>
      <w:r w:rsidR="00A51821">
        <w:t xml:space="preserve">business models, built on </w:t>
      </w:r>
      <w:r w:rsidR="00A51821">
        <w:t xml:space="preserve">graphics and visualization </w:t>
      </w:r>
      <w:r w:rsidR="00A51821">
        <w:t>usages such as</w:t>
      </w:r>
      <w:r>
        <w:t xml:space="preserve"> workstation remoting, VDI, DaaS, transcoding, media streaming, and on-line gaming</w:t>
      </w:r>
      <w:r w:rsidR="00A51821">
        <w:t>,</w:t>
      </w:r>
      <w:r>
        <w:t xml:space="preserve"> are </w:t>
      </w:r>
      <w:r w:rsidR="00A51821">
        <w:t>beginning to draw</w:t>
      </w:r>
      <w:r>
        <w:t xml:space="preserve"> open source</w:t>
      </w:r>
      <w:r w:rsidR="00A51821">
        <w:t xml:space="preserve"> attention, worldwide. E</w:t>
      </w:r>
      <w:r w:rsidR="004B32CA" w:rsidRPr="00696FD9">
        <w:t xml:space="preserve">mployees </w:t>
      </w:r>
      <w:r w:rsidR="004B32CA">
        <w:t xml:space="preserve">are becoming mobile. They want flexibility of working from any device, anywhere, anytime, with any data, without any compromise in the quality due to access, latency or </w:t>
      </w:r>
      <w:r w:rsidR="00A51821">
        <w:t xml:space="preserve">visualization. On the data center side, </w:t>
      </w:r>
      <w:r w:rsidR="004B32CA">
        <w:t>IT wants to protect enterprise data and IP in the most cost effective and scalable manner, while delivering a great use</w:t>
      </w:r>
      <w:r w:rsidR="00B027DF">
        <w:t>r experience to the mobile users</w:t>
      </w:r>
      <w:r w:rsidR="004B32CA">
        <w:t xml:space="preserve">. </w:t>
      </w:r>
    </w:p>
    <w:p w:rsidR="00A51821" w:rsidRDefault="00A51821" w:rsidP="004439BF"/>
    <w:p w:rsidR="00897509" w:rsidRDefault="004B32CA" w:rsidP="004439BF">
      <w:r>
        <w:t>To sati</w:t>
      </w:r>
      <w:r w:rsidR="00981616">
        <w:t>sfy both client and server side</w:t>
      </w:r>
      <w:r w:rsidR="00A25677">
        <w:t>s</w:t>
      </w:r>
      <w:r w:rsidR="00981616">
        <w:t>,</w:t>
      </w:r>
      <w:r>
        <w:t xml:space="preserve"> </w:t>
      </w:r>
      <w:r w:rsidR="00981616">
        <w:t>Intel</w:t>
      </w:r>
      <w:r w:rsidR="00B027DF">
        <w:t xml:space="preserve"> has developed a comprehensive portfolio of graphics virtualization technologies trade marked as Intel</w:t>
      </w:r>
      <w:r w:rsidR="00981616">
        <w:t>® Graphics Virtualization Technology™ (Intel GVT)</w:t>
      </w:r>
      <w:r w:rsidR="00B027DF">
        <w:t xml:space="preserve">. This portfolio currently </w:t>
      </w:r>
      <w:r w:rsidR="00B95984">
        <w:t xml:space="preserve">covers </w:t>
      </w:r>
      <w:r w:rsidR="00A25677">
        <w:t>t</w:t>
      </w:r>
      <w:r w:rsidR="00C94E13">
        <w:t>hree distinct flavors</w:t>
      </w:r>
      <w:r w:rsidR="00A25677">
        <w:t xml:space="preserve"> of graphic</w:t>
      </w:r>
      <w:r w:rsidR="00E42E35">
        <w:t>s</w:t>
      </w:r>
      <w:r w:rsidR="00B95984">
        <w:t xml:space="preserve"> virtualization approaches</w:t>
      </w:r>
      <w:r w:rsidR="00B027DF">
        <w:t>, namely:</w:t>
      </w:r>
      <w:r w:rsidR="00C94E13">
        <w:t xml:space="preserve"> Intel GVT-d, Intel GVT-</w:t>
      </w:r>
      <w:r w:rsidR="0057085C">
        <w:t xml:space="preserve">s and </w:t>
      </w:r>
      <w:r w:rsidR="00C94E13">
        <w:t>Intel GVT-</w:t>
      </w:r>
      <w:r w:rsidR="00A25677">
        <w:t>g</w:t>
      </w:r>
      <w:r w:rsidR="00A51821">
        <w:t xml:space="preserve">. </w:t>
      </w:r>
      <w:r w:rsidR="00B027DF">
        <w:t>Developers can pick one or more techniques from Intel GVT portfolio to best suit their respective solutions and business models. Additional innovative techniques</w:t>
      </w:r>
      <w:r w:rsidR="00B027DF">
        <w:t xml:space="preserve"> can be expected </w:t>
      </w:r>
      <w:r w:rsidR="00B027DF">
        <w:t>to get added to the portfolio as</w:t>
      </w:r>
      <w:r w:rsidR="00B027DF">
        <w:t xml:space="preserve"> Intel GVT adoption</w:t>
      </w:r>
      <w:r w:rsidR="00B027DF">
        <w:t xml:space="preserve"> will grow, especially in open source.</w:t>
      </w:r>
    </w:p>
    <w:p w:rsidR="00897509" w:rsidRDefault="00897509" w:rsidP="004439BF"/>
    <w:p w:rsidR="00205700" w:rsidRPr="00205700" w:rsidRDefault="00897509" w:rsidP="00205700">
      <w:r>
        <w:t xml:space="preserve">Further, </w:t>
      </w:r>
      <w:r w:rsidR="004439BF">
        <w:t>true</w:t>
      </w:r>
      <w:r>
        <w:t xml:space="preserve"> to the</w:t>
      </w:r>
      <w:r w:rsidR="004439BF">
        <w:t xml:space="preserve"> spirit of Moore’s law, Intel is integrati</w:t>
      </w:r>
      <w:r w:rsidR="004B32CA">
        <w:t>ng C</w:t>
      </w:r>
      <w:r>
        <w:t xml:space="preserve">PU-GPU in both client and server products which </w:t>
      </w:r>
      <w:r w:rsidR="004B32CA">
        <w:t xml:space="preserve">results in </w:t>
      </w:r>
      <w:r w:rsidR="004439BF">
        <w:t xml:space="preserve">improved energy efficiency, reliability, density, and </w:t>
      </w:r>
      <w:r w:rsidR="00B027DF">
        <w:t xml:space="preserve">lower engineering complexities. </w:t>
      </w:r>
      <w:r w:rsidR="004439BF">
        <w:t xml:space="preserve">Combining </w:t>
      </w:r>
      <w:r w:rsidR="00CA3DE8">
        <w:t>Intel’s</w:t>
      </w:r>
      <w:r w:rsidR="004B32CA">
        <w:t xml:space="preserve"> </w:t>
      </w:r>
      <w:r w:rsidR="004439BF">
        <w:t>platf</w:t>
      </w:r>
      <w:r>
        <w:t>orm integration advantages with smart</w:t>
      </w:r>
      <w:r w:rsidR="004439BF">
        <w:t xml:space="preserve"> </w:t>
      </w:r>
      <w:r>
        <w:t xml:space="preserve">techniques of sharing </w:t>
      </w:r>
      <w:r w:rsidR="004439BF">
        <w:t>graphics</w:t>
      </w:r>
      <w:r>
        <w:t xml:space="preserve"> amongst many concurrent </w:t>
      </w:r>
      <w:r w:rsidR="004439BF">
        <w:t>users</w:t>
      </w:r>
      <w:r w:rsidR="004B32CA">
        <w:t>, IT can now deliver</w:t>
      </w:r>
      <w:r w:rsidR="004439BF">
        <w:t xml:space="preserve"> workstation q</w:t>
      </w:r>
      <w:r>
        <w:t>uality high-end performance at</w:t>
      </w:r>
      <w:r w:rsidR="00805B65">
        <w:t xml:space="preserve"> low</w:t>
      </w:r>
      <w:r w:rsidR="004439BF">
        <w:t xml:space="preserve"> total cost</w:t>
      </w:r>
      <w:r>
        <w:t>s</w:t>
      </w:r>
      <w:r w:rsidR="004439BF">
        <w:t xml:space="preserve"> of ownership. </w:t>
      </w:r>
      <w:r w:rsidR="00805B65">
        <w:t xml:space="preserve">Additionally, using Intel® Media SDK™ tools and libraries, developers can write software that scales very well across all Intel platforms, and can last over multiple generations. </w:t>
      </w:r>
    </w:p>
    <w:p w:rsidR="00E55845" w:rsidRDefault="00E55845" w:rsidP="004439BF"/>
    <w:p w:rsidR="004439BF" w:rsidRDefault="004439BF" w:rsidP="004439BF">
      <w:r>
        <w:t xml:space="preserve">Intel GVT </w:t>
      </w:r>
      <w:r w:rsidR="00897509">
        <w:t>portfolio can be summarized as follows:-</w:t>
      </w:r>
    </w:p>
    <w:p w:rsidR="004439BF" w:rsidRDefault="00E55845" w:rsidP="005E4A06">
      <w:pPr>
        <w:pStyle w:val="Heading1"/>
      </w:pPr>
      <w:r>
        <w:t>Intel GVT-</w:t>
      </w:r>
      <w:r w:rsidR="004439BF">
        <w:t>d</w:t>
      </w:r>
    </w:p>
    <w:p w:rsidR="004439BF" w:rsidRDefault="004439BF" w:rsidP="004439BF"/>
    <w:p w:rsidR="0058022F" w:rsidRDefault="00F77EC5" w:rsidP="004439BF">
      <w:r>
        <w:rPr>
          <w:noProof/>
        </w:rPr>
        <w:drawing>
          <wp:anchor distT="0" distB="0" distL="114300" distR="114300" simplePos="0" relativeHeight="251659264" behindDoc="0" locked="0" layoutInCell="1" allowOverlap="1" wp14:anchorId="56BA4002" wp14:editId="42366538">
            <wp:simplePos x="0" y="0"/>
            <wp:positionH relativeFrom="margin">
              <wp:align>right</wp:align>
            </wp:positionH>
            <wp:positionV relativeFrom="paragraph">
              <wp:posOffset>741680</wp:posOffset>
            </wp:positionV>
            <wp:extent cx="2792095" cy="2331085"/>
            <wp:effectExtent l="0" t="0" r="0" b="0"/>
            <wp:wrapSquare wrapText="bothSides"/>
            <wp:docPr id="2" name="Picture 2" descr="cid:image002.png@01CF6483.737ED8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cid:image002.png@01CF6483.737ED8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949" cy="233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AC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27ABD" wp14:editId="503B7FB3">
                <wp:simplePos x="0" y="0"/>
                <wp:positionH relativeFrom="margin">
                  <wp:align>right</wp:align>
                </wp:positionH>
                <wp:positionV relativeFrom="paragraph">
                  <wp:posOffset>227330</wp:posOffset>
                </wp:positionV>
                <wp:extent cx="2708275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275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39BF" w:rsidRPr="00B10503" w:rsidRDefault="004439BF" w:rsidP="004439BF">
                            <w:pPr>
                              <w:pStyle w:val="Caption"/>
                              <w:rPr>
                                <w:noProof/>
                                <w:szCs w:val="22"/>
                              </w:rPr>
                            </w:pPr>
                            <w:r>
                              <w:t xml:space="preserve">Figure </w:t>
                            </w:r>
                            <w:r w:rsidR="00F1324C">
                              <w:fldChar w:fldCharType="begin"/>
                            </w:r>
                            <w:r w:rsidR="00F1324C">
                              <w:instrText xml:space="preserve"> SEQ Figure \* ARABIC </w:instrText>
                            </w:r>
                            <w:r w:rsidR="00F1324C">
                              <w:fldChar w:fldCharType="separate"/>
                            </w:r>
                            <w:r w:rsidR="0001008C">
                              <w:rPr>
                                <w:noProof/>
                              </w:rPr>
                              <w:t>1</w:t>
                            </w:r>
                            <w:r w:rsidR="00F1324C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527AB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2.05pt;margin-top:17.9pt;width:213.25pt;height:36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" stroked="f">
                <v:textbox inset="0,0,0,0">
                  <w:txbxContent>
                    <w:p w:rsidR="004439BF" w:rsidRPr="00B10503" w:rsidRDefault="004439BF" w:rsidP="004439BF">
                      <w:pPr>
                        <w:pStyle w:val="Caption"/>
                        <w:rPr>
                          <w:noProof/>
                          <w:szCs w:val="22"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 w:rsidR="0001008C"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39BF">
        <w:t>This flavor allows direct assignment o</w:t>
      </w:r>
      <w:r w:rsidR="00897509">
        <w:t>f an entire GPU’s prowess to a single</w:t>
      </w:r>
      <w:r w:rsidR="004439BF">
        <w:t xml:space="preserve"> user</w:t>
      </w:r>
      <w:r w:rsidR="00897509">
        <w:t xml:space="preserve">, </w:t>
      </w:r>
      <w:r w:rsidR="004439BF">
        <w:t>pass</w:t>
      </w:r>
      <w:r w:rsidR="00897509">
        <w:t>ing the native driver capabilities</w:t>
      </w:r>
      <w:r w:rsidR="004439BF">
        <w:t xml:space="preserve"> through the hypervisor </w:t>
      </w:r>
      <w:r>
        <w:t xml:space="preserve">without any limitations </w:t>
      </w:r>
      <w:r w:rsidR="004439BF">
        <w:t xml:space="preserve">(fig-1). The assignment of </w:t>
      </w:r>
      <w:r>
        <w:t xml:space="preserve">the </w:t>
      </w:r>
      <w:r w:rsidR="004439BF">
        <w:t>GPU is accomplished using Intel’s</w:t>
      </w:r>
      <w:r>
        <w:t xml:space="preserve"> foundational</w:t>
      </w:r>
      <w:r w:rsidR="004439BF">
        <w:t xml:space="preserve"> hardware virtualizati</w:t>
      </w:r>
      <w:r w:rsidR="00B027DF">
        <w:t>on features namely VTd or DPIO</w:t>
      </w:r>
      <w:r>
        <w:t>.</w:t>
      </w:r>
      <w:r w:rsidR="004439BF">
        <w:t xml:space="preserve"> </w:t>
      </w:r>
      <w:r w:rsidR="0058022F">
        <w:t xml:space="preserve">For Xen developers, Intel GVT-d has been upstreamed as Qemu Traditional with VTd. </w:t>
      </w:r>
    </w:p>
    <w:p w:rsidR="0058022F" w:rsidRDefault="0058022F" w:rsidP="004439BF"/>
    <w:p w:rsidR="0058022F" w:rsidRDefault="0058022F" w:rsidP="004439BF">
      <w:r>
        <w:t>Common nomenclature used in the industry for this flavor of graphics virtualization is ‘Direct Graphics Adaptor’ (vDGA).</w:t>
      </w:r>
      <w:r>
        <w:t xml:space="preserve"> </w:t>
      </w:r>
      <w:r>
        <w:t>A large number of commercial desktop and workstation virtualization products in the market use this approach.</w:t>
      </w:r>
    </w:p>
    <w:p w:rsidR="0058022F" w:rsidRDefault="0058022F" w:rsidP="004439BF"/>
    <w:p w:rsidR="00F77EC5" w:rsidRDefault="00F77EC5" w:rsidP="004439BF">
      <w:r>
        <w:t xml:space="preserve">From user experience view point, there is practically no difference between having a local desktop machine with a dedicated GPU, versus, having a </w:t>
      </w:r>
      <w:r>
        <w:lastRenderedPageBreak/>
        <w:t xml:space="preserve">Virtual Desktop with </w:t>
      </w:r>
      <w:r w:rsidR="0058022F">
        <w:t xml:space="preserve">Intel GVT-d </w:t>
      </w:r>
      <w:r>
        <w:t xml:space="preserve">direct assigned Intel processor-graphics somewhere in the enterprise server or in the cloud. </w:t>
      </w:r>
    </w:p>
    <w:p w:rsidR="00F77EC5" w:rsidRDefault="00F77EC5" w:rsidP="0057085C"/>
    <w:p w:rsidR="004439BF" w:rsidRDefault="00E55845" w:rsidP="005E4A06">
      <w:pPr>
        <w:pStyle w:val="Heading1"/>
      </w:pPr>
      <w:r>
        <w:t>Intel GVT-</w:t>
      </w:r>
      <w:r w:rsidR="004439BF">
        <w:t>s</w:t>
      </w:r>
    </w:p>
    <w:p w:rsidR="00EA3A4B" w:rsidRDefault="00EA3A4B" w:rsidP="00EA3A4B"/>
    <w:p w:rsidR="004439BF" w:rsidRDefault="00F77EC5" w:rsidP="00EA3A4B">
      <w:r>
        <w:t>Commercially available as Virtual Shared Graphics Adaptor (vDGA, VMWare) and Remote FX (Microsoft), this graphics virtualization approach requires a virtual graphics driver in a</w:t>
      </w:r>
      <w:r w:rsidR="004439BF">
        <w:t xml:space="preserve"> virtual machine</w:t>
      </w:r>
      <w:r>
        <w:t xml:space="preserve">, </w:t>
      </w:r>
      <w:r w:rsidR="004439BF">
        <w:t xml:space="preserve">use </w:t>
      </w:r>
      <w:r>
        <w:t xml:space="preserve">an API forwarding technique to interface with the </w:t>
      </w:r>
      <w:r w:rsidR="004439BF">
        <w:t xml:space="preserve">Intel’s </w:t>
      </w:r>
      <w:r>
        <w:t>graphics hardware</w:t>
      </w:r>
      <w:r w:rsidR="004439BF">
        <w:t xml:space="preserve"> (fig-2). </w:t>
      </w:r>
      <w:r>
        <w:t>Single GPU hardware can be shared amongst many concurrent users, while the graphics hardware remains abstracted from the applications.</w:t>
      </w:r>
      <w:r w:rsidR="007279AB">
        <w:t xml:space="preserve"> Specific sharing algorithms remain proprietary to the virtual graphics driver.</w:t>
      </w:r>
      <w:r>
        <w:t xml:space="preserve"> </w:t>
      </w:r>
      <w:r w:rsidR="004439BF">
        <w:t>Many commercial desktop and workstation remoting products in the market use this approach.</w:t>
      </w:r>
    </w:p>
    <w:p w:rsidR="004439BF" w:rsidRDefault="00A62A39" w:rsidP="00A62A39">
      <w:pPr>
        <w:tabs>
          <w:tab w:val="left" w:pos="2081"/>
        </w:tabs>
      </w:pPr>
      <w:r>
        <w:tab/>
      </w:r>
    </w:p>
    <w:p w:rsidR="00C943C8" w:rsidRDefault="00C943C8" w:rsidP="00C943C8">
      <w:pPr>
        <w:pStyle w:val="Caption"/>
        <w:keepNext/>
      </w:pPr>
      <w:r>
        <w:t xml:space="preserve">Figure </w:t>
      </w:r>
      <w:r w:rsidR="00F1324C">
        <w:fldChar w:fldCharType="begin"/>
      </w:r>
      <w:r w:rsidR="00F1324C">
        <w:instrText xml:space="preserve"> SEQ Figure \* ARABIC </w:instrText>
      </w:r>
      <w:r w:rsidR="00F1324C">
        <w:fldChar w:fldCharType="separate"/>
      </w:r>
      <w:r w:rsidR="0001008C">
        <w:rPr>
          <w:noProof/>
        </w:rPr>
        <w:t>2</w:t>
      </w:r>
      <w:r w:rsidR="00F1324C">
        <w:rPr>
          <w:noProof/>
        </w:rPr>
        <w:fldChar w:fldCharType="end"/>
      </w:r>
    </w:p>
    <w:p w:rsidR="004439BF" w:rsidRDefault="004439BF" w:rsidP="00C943C8">
      <w:pPr>
        <w:keepNext/>
      </w:pPr>
    </w:p>
    <w:p w:rsidR="0001008C" w:rsidRDefault="00B5548C" w:rsidP="0058022F">
      <w:pPr>
        <w:pStyle w:val="ListParagraph"/>
        <w:ind w:left="144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1828800" y="3135770"/>
            <wp:positionH relativeFrom="column">
              <wp:align>center</wp:align>
            </wp:positionH>
            <wp:positionV relativeFrom="paragraph">
              <wp:posOffset>0</wp:posOffset>
            </wp:positionV>
            <wp:extent cx="5660136" cy="2432304"/>
            <wp:effectExtent l="0" t="0" r="0" b="6350"/>
            <wp:wrapTopAndBottom/>
            <wp:docPr id="1" name="Picture 1" descr="cid:image004.png@01CF6483.737ED8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id:image004.png@01CF6483.737ED8E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136" cy="243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39BF" w:rsidRDefault="00E55845" w:rsidP="00E55845">
      <w:pPr>
        <w:pStyle w:val="Heading1"/>
      </w:pPr>
      <w:r>
        <w:t>Intel GVT-</w:t>
      </w:r>
      <w:r w:rsidR="004439BF">
        <w:t>g</w:t>
      </w:r>
    </w:p>
    <w:p w:rsidR="00B5548C" w:rsidRDefault="00B5548C" w:rsidP="00B5548C"/>
    <w:p w:rsidR="0001008C" w:rsidRDefault="004439BF" w:rsidP="0001008C">
      <w:r>
        <w:t xml:space="preserve">This approach of sharing a GPU amongst many </w:t>
      </w:r>
      <w:r w:rsidR="00B5548C">
        <w:t xml:space="preserve">concurrent users is </w:t>
      </w:r>
      <w:r>
        <w:t>the</w:t>
      </w:r>
      <w:r w:rsidR="00B5548C">
        <w:t xml:space="preserve"> latest addition to Intel’s graphics virtualization technologies</w:t>
      </w:r>
      <w:r>
        <w:t xml:space="preserve"> portfolio (fig-3). </w:t>
      </w:r>
      <w:r w:rsidR="00B5548C">
        <w:t>Each virtual desktop machine keeps</w:t>
      </w:r>
      <w:r>
        <w:t xml:space="preserve"> a copy of Intel’s native graphics driver. </w:t>
      </w:r>
      <w:r w:rsidR="00B5548C">
        <w:t>On a time sliced basis</w:t>
      </w:r>
      <w:r w:rsidR="00805B65">
        <w:t xml:space="preserve">, an </w:t>
      </w:r>
      <w:r>
        <w:t xml:space="preserve">agent in the hypervisor directly assigns the </w:t>
      </w:r>
      <w:r w:rsidR="00805B65">
        <w:t xml:space="preserve">full </w:t>
      </w:r>
      <w:r>
        <w:t xml:space="preserve">GPU </w:t>
      </w:r>
      <w:r w:rsidR="00805B65">
        <w:t xml:space="preserve">resource </w:t>
      </w:r>
      <w:r>
        <w:t>to each virtual machine</w:t>
      </w:r>
      <w:r w:rsidR="00B5548C">
        <w:t xml:space="preserve">. Thus, during its time slice, </w:t>
      </w:r>
      <w:r w:rsidR="00805B65">
        <w:t xml:space="preserve">while </w:t>
      </w:r>
      <w:r w:rsidR="00B5548C">
        <w:t>the</w:t>
      </w:r>
      <w:r>
        <w:t xml:space="preserve"> virtual machine</w:t>
      </w:r>
      <w:r w:rsidR="00B5548C">
        <w:t xml:space="preserve"> gets</w:t>
      </w:r>
      <w:r>
        <w:t xml:space="preserve"> a full dedic</w:t>
      </w:r>
      <w:r w:rsidR="00805B65">
        <w:t>ated GPU, from overall system view point several virtual machines share a single GPU.</w:t>
      </w:r>
      <w:r w:rsidR="00B5548C">
        <w:t xml:space="preserve"> Intel has been developing GVT-</w:t>
      </w:r>
      <w:r>
        <w:t xml:space="preserve">g under the code name </w:t>
      </w:r>
      <w:r w:rsidR="00805B65">
        <w:t>“XenGT” for Xen</w:t>
      </w:r>
      <w:r w:rsidR="00B5548C">
        <w:t>. Up-streaming of GVT-g to KVM is also in works.</w:t>
      </w:r>
      <w:r w:rsidR="00205700">
        <w:t xml:space="preserve"> </w:t>
      </w:r>
      <w:r w:rsidR="00205700">
        <w:rPr>
          <w:color w:val="000000"/>
        </w:rPr>
        <w:t>More recently, Intel has been disclosing this solution to select partners, and making the source available for variety of processor graphics configurations.                </w:t>
      </w:r>
    </w:p>
    <w:p w:rsidR="0001008C" w:rsidRDefault="0001008C" w:rsidP="00805B65">
      <w:pPr>
        <w:keepNext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61586B" wp14:editId="3689CAAD">
                <wp:simplePos x="0" y="0"/>
                <wp:positionH relativeFrom="column">
                  <wp:posOffset>-15240</wp:posOffset>
                </wp:positionH>
                <wp:positionV relativeFrom="paragraph">
                  <wp:posOffset>203200</wp:posOffset>
                </wp:positionV>
                <wp:extent cx="6203950" cy="457200"/>
                <wp:effectExtent l="0" t="0" r="6350" b="0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0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008C" w:rsidRPr="00AC035C" w:rsidRDefault="0001008C" w:rsidP="0001008C">
                            <w:pPr>
                              <w:pStyle w:val="Caption"/>
                              <w:rPr>
                                <w:noProof/>
                                <w:szCs w:val="22"/>
                              </w:rPr>
                            </w:pPr>
                            <w:r>
                              <w:t xml:space="preserve">Figure </w:t>
                            </w:r>
                            <w:r w:rsidR="00F1324C">
                              <w:fldChar w:fldCharType="begin"/>
                            </w:r>
                            <w:r w:rsidR="00F1324C">
                              <w:instrText xml:space="preserve"> SEQ Figure \* ARABIC </w:instrText>
                            </w:r>
                            <w:r w:rsidR="00F1324C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3</w:t>
                            </w:r>
                            <w:r w:rsidR="00F1324C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1586B" id="Text Box 6" o:spid="_x0000_s1027" type="#_x0000_t202" style="position:absolute;margin-left:-1.2pt;margin-top:16pt;width:488.5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" stroked="f">
                <v:textbox inset="0,0,0,0">
                  <w:txbxContent>
                    <w:p w:rsidR="0001008C" w:rsidRPr="00AC035C" w:rsidRDefault="0001008C" w:rsidP="0001008C">
                      <w:pPr>
                        <w:pStyle w:val="Caption"/>
                        <w:rPr>
                          <w:noProof/>
                          <w:szCs w:val="22"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3</w:t>
                        </w:r>
                      </w:fldSimple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987EF27" wp14:editId="2EEE7B7E">
            <wp:simplePos x="0" y="0"/>
            <wp:positionH relativeFrom="margin">
              <wp:posOffset>-15240</wp:posOffset>
            </wp:positionH>
            <wp:positionV relativeFrom="paragraph">
              <wp:posOffset>660400</wp:posOffset>
            </wp:positionV>
            <wp:extent cx="6203950" cy="223266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223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08C" w:rsidRDefault="0001008C" w:rsidP="00805B65">
      <w:pPr>
        <w:keepNext/>
      </w:pPr>
    </w:p>
    <w:p w:rsidR="0001008C" w:rsidRDefault="0001008C" w:rsidP="00805B65">
      <w:pPr>
        <w:keepNext/>
      </w:pPr>
    </w:p>
    <w:p w:rsidR="000C1F58" w:rsidRDefault="0058022F" w:rsidP="0058022F">
      <w:r>
        <w:t>Major ISVs and OEMs are aligning with Intel</w:t>
      </w:r>
      <w:r>
        <w:t xml:space="preserve"> to productize Intel GVT</w:t>
      </w:r>
      <w:r>
        <w:t xml:space="preserve"> </w:t>
      </w:r>
      <w:r>
        <w:t xml:space="preserve">based solutions. Open source developers might </w:t>
      </w:r>
      <w:r w:rsidR="00FF107B">
        <w:t xml:space="preserve">also </w:t>
      </w:r>
      <w:r>
        <w:t xml:space="preserve">find Intel GVT portfolio </w:t>
      </w:r>
      <w:r w:rsidR="00FF107B">
        <w:t xml:space="preserve">with </w:t>
      </w:r>
      <w:r>
        <w:t xml:space="preserve">Intel processor-graphics </w:t>
      </w:r>
      <w:r w:rsidR="00FF107B">
        <w:t xml:space="preserve">products </w:t>
      </w:r>
      <w:r>
        <w:t xml:space="preserve">equally </w:t>
      </w:r>
      <w:r w:rsidR="00FF107B">
        <w:t xml:space="preserve">enticing. </w:t>
      </w:r>
      <w:bookmarkStart w:id="0" w:name="_GoBack"/>
      <w:bookmarkEnd w:id="0"/>
      <w:r>
        <w:t>C</w:t>
      </w:r>
      <w:r w:rsidR="002C0BCC">
        <w:t>omments welcome!</w:t>
      </w:r>
    </w:p>
    <w:sectPr w:rsidR="000C1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24C" w:rsidRDefault="00F1324C" w:rsidP="00C943C8">
      <w:r>
        <w:separator/>
      </w:r>
    </w:p>
  </w:endnote>
  <w:endnote w:type="continuationSeparator" w:id="0">
    <w:p w:rsidR="00F1324C" w:rsidRDefault="00F1324C" w:rsidP="00C9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24C" w:rsidRDefault="00F1324C" w:rsidP="00C943C8">
      <w:r>
        <w:separator/>
      </w:r>
    </w:p>
  </w:footnote>
  <w:footnote w:type="continuationSeparator" w:id="0">
    <w:p w:rsidR="00F1324C" w:rsidRDefault="00F1324C" w:rsidP="00C94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F0907"/>
    <w:multiLevelType w:val="hybridMultilevel"/>
    <w:tmpl w:val="C81422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76F30"/>
    <w:multiLevelType w:val="hybridMultilevel"/>
    <w:tmpl w:val="2200C56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BF"/>
    <w:rsid w:val="0001008C"/>
    <w:rsid w:val="000C1F58"/>
    <w:rsid w:val="001F3CB0"/>
    <w:rsid w:val="00205700"/>
    <w:rsid w:val="002C0BCC"/>
    <w:rsid w:val="004439BF"/>
    <w:rsid w:val="004767CC"/>
    <w:rsid w:val="004B32CA"/>
    <w:rsid w:val="004D4689"/>
    <w:rsid w:val="0057085C"/>
    <w:rsid w:val="0058022F"/>
    <w:rsid w:val="005E4A06"/>
    <w:rsid w:val="0072130A"/>
    <w:rsid w:val="007279AB"/>
    <w:rsid w:val="0073153B"/>
    <w:rsid w:val="007410EC"/>
    <w:rsid w:val="00805B65"/>
    <w:rsid w:val="00897509"/>
    <w:rsid w:val="008B6E92"/>
    <w:rsid w:val="008D462B"/>
    <w:rsid w:val="0093400E"/>
    <w:rsid w:val="00981616"/>
    <w:rsid w:val="00A25677"/>
    <w:rsid w:val="00A51821"/>
    <w:rsid w:val="00A62A39"/>
    <w:rsid w:val="00A80237"/>
    <w:rsid w:val="00AC344D"/>
    <w:rsid w:val="00B027DF"/>
    <w:rsid w:val="00B5548C"/>
    <w:rsid w:val="00B95984"/>
    <w:rsid w:val="00C1216C"/>
    <w:rsid w:val="00C943C8"/>
    <w:rsid w:val="00C94E13"/>
    <w:rsid w:val="00CA3DE8"/>
    <w:rsid w:val="00CC780B"/>
    <w:rsid w:val="00D064EF"/>
    <w:rsid w:val="00E42E35"/>
    <w:rsid w:val="00E52E47"/>
    <w:rsid w:val="00E55845"/>
    <w:rsid w:val="00EA3A4B"/>
    <w:rsid w:val="00ED44AB"/>
    <w:rsid w:val="00F1324C"/>
    <w:rsid w:val="00F73AC6"/>
    <w:rsid w:val="00F77EC5"/>
    <w:rsid w:val="00FF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E2563-0119-47BD-B33D-3467ED8D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9BF"/>
    <w:pPr>
      <w:spacing w:after="0" w:line="240" w:lineRule="auto"/>
    </w:pPr>
    <w:rPr>
      <w:rFonts w:ascii="Calibri" w:hAnsi="Calibri" w:cs="Times New Roman"/>
      <w:lang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A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35"/>
    <w:unhideWhenUsed/>
    <w:qFormat/>
    <w:rsid w:val="004439BF"/>
    <w:pPr>
      <w:spacing w:after="200"/>
    </w:pPr>
    <w:rPr>
      <w:i/>
      <w:iCs/>
      <w:color w:val="44546A"/>
      <w:sz w:val="18"/>
      <w:szCs w:val="18"/>
    </w:rPr>
  </w:style>
  <w:style w:type="paragraph" w:styleId="ListParagraph">
    <w:name w:val="List Paragraph"/>
    <w:basedOn w:val="Normal"/>
    <w:uiPriority w:val="34"/>
    <w:qFormat/>
    <w:rsid w:val="004439BF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EA3A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EA3A4B"/>
    <w:rPr>
      <w:rFonts w:asciiTheme="majorHAnsi" w:eastAsiaTheme="majorEastAsia" w:hAnsiTheme="majorHAnsi" w:cstheme="majorBidi"/>
      <w:spacing w:val="-10"/>
      <w:kern w:val="28"/>
      <w:sz w:val="56"/>
      <w:szCs w:val="50"/>
      <w:lang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5E4A06"/>
    <w:rPr>
      <w:rFonts w:asciiTheme="majorHAnsi" w:eastAsiaTheme="majorEastAsia" w:hAnsiTheme="majorHAnsi" w:cstheme="majorBidi"/>
      <w:color w:val="2E74B5" w:themeColor="accent1" w:themeShade="BF"/>
      <w:sz w:val="32"/>
      <w:szCs w:val="29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6E9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8B6E92"/>
    <w:rPr>
      <w:rFonts w:eastAsiaTheme="minorEastAsia"/>
      <w:color w:val="5A5A5A" w:themeColor="text1" w:themeTint="A5"/>
      <w:spacing w:val="15"/>
      <w:szCs w:val="20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C943C8"/>
    <w:pPr>
      <w:tabs>
        <w:tab w:val="center" w:pos="4680"/>
        <w:tab w:val="right" w:pos="9360"/>
      </w:tabs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943C8"/>
    <w:rPr>
      <w:rFonts w:ascii="Calibri" w:hAnsi="Calibri"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C943C8"/>
    <w:pPr>
      <w:tabs>
        <w:tab w:val="center" w:pos="4680"/>
        <w:tab w:val="right" w:pos="9360"/>
      </w:tabs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943C8"/>
    <w:rPr>
      <w:rFonts w:ascii="Calibri" w:hAnsi="Calibri" w:cs="Mangal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7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CF6483.737ED8E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cid:image004.png@01CF6483.737ED8E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Jain, Sunil K</dc:creator>
  <cp:keywords/>
  <dc:description/>
  <cp:lastModifiedBy>Jain, Sunil K</cp:lastModifiedBy>
  <cp:revision>31</cp:revision>
  <dcterms:created xsi:type="dcterms:W3CDTF">2014-05-01T15:55:00Z</dcterms:created>
  <dcterms:modified xsi:type="dcterms:W3CDTF">2014-05-03T05:24:00Z</dcterms:modified>
</cp:coreProperties>
</file>